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4492" w:rsidRPr="00594492" w:rsidP="00594492">
      <w:pPr>
        <w:spacing w:line="480" w:lineRule="auto"/>
        <w:jc w:val="center"/>
        <w:rPr>
          <w:rFonts w:ascii="Times New Roman" w:hAnsi="Times New Roman" w:cs="Times New Roman"/>
          <w:b/>
          <w:sz w:val="24"/>
          <w:szCs w:val="24"/>
        </w:rPr>
      </w:pPr>
      <w:r w:rsidRPr="00594492">
        <w:rPr>
          <w:rFonts w:ascii="Times New Roman" w:hAnsi="Times New Roman" w:cs="Times New Roman"/>
          <w:b/>
          <w:sz w:val="24"/>
          <w:szCs w:val="24"/>
        </w:rPr>
        <w:t>Physiology Discussion</w:t>
      </w:r>
    </w:p>
    <w:p w:rsidR="007A5B37" w:rsidRPr="00594492" w:rsidP="00270D56">
      <w:pPr>
        <w:spacing w:after="0" w:line="480" w:lineRule="auto"/>
        <w:ind w:firstLine="720"/>
        <w:contextualSpacing/>
        <w:rPr>
          <w:rFonts w:ascii="Times New Roman" w:hAnsi="Times New Roman" w:cs="Times New Roman"/>
          <w:sz w:val="24"/>
          <w:szCs w:val="24"/>
        </w:rPr>
      </w:pPr>
      <w:r w:rsidRPr="00594492">
        <w:rPr>
          <w:rFonts w:ascii="Times New Roman" w:hAnsi="Times New Roman" w:cs="Times New Roman"/>
          <w:sz w:val="24"/>
          <w:szCs w:val="24"/>
        </w:rPr>
        <w:t xml:space="preserve">Sodium and calcium channel blockers are essential in a neuron. They reduce blood pressure by </w:t>
      </w:r>
      <w:r w:rsidRPr="00594492" w:rsidR="000F78A5">
        <w:rPr>
          <w:rFonts w:ascii="Times New Roman" w:hAnsi="Times New Roman" w:cs="Times New Roman"/>
          <w:sz w:val="24"/>
          <w:szCs w:val="24"/>
        </w:rPr>
        <w:t>controlling the</w:t>
      </w:r>
      <w:r w:rsidRPr="00594492">
        <w:rPr>
          <w:rFonts w:ascii="Times New Roman" w:hAnsi="Times New Roman" w:cs="Times New Roman"/>
          <w:sz w:val="24"/>
          <w:szCs w:val="24"/>
        </w:rPr>
        <w:t xml:space="preserve"> entrance of these elements into the heart and </w:t>
      </w:r>
      <w:r w:rsidRPr="00594492" w:rsidR="000F78A5">
        <w:rPr>
          <w:rFonts w:ascii="Times New Roman" w:hAnsi="Times New Roman" w:cs="Times New Roman"/>
          <w:sz w:val="24"/>
          <w:szCs w:val="24"/>
        </w:rPr>
        <w:t>arteries cells</w:t>
      </w:r>
      <w:r w:rsidRPr="00594492" w:rsidR="008E6A1C">
        <w:rPr>
          <w:rFonts w:ascii="Times New Roman" w:hAnsi="Times New Roman" w:cs="Times New Roman"/>
          <w:sz w:val="24"/>
          <w:szCs w:val="24"/>
        </w:rPr>
        <w:t xml:space="preserve"> (</w:t>
      </w:r>
      <w:r w:rsidRPr="00594492" w:rsidR="008E6A1C">
        <w:rPr>
          <w:rFonts w:ascii="Times New Roman" w:hAnsi="Times New Roman" w:cs="Times New Roman"/>
          <w:sz w:val="24"/>
          <w:szCs w:val="24"/>
          <w:shd w:val="clear" w:color="auto" w:fill="FFFFFF"/>
        </w:rPr>
        <w:t>Katz et al., 2018).</w:t>
      </w:r>
      <w:r w:rsidRPr="00594492">
        <w:rPr>
          <w:rFonts w:ascii="Times New Roman" w:hAnsi="Times New Roman" w:cs="Times New Roman"/>
          <w:sz w:val="24"/>
          <w:szCs w:val="24"/>
        </w:rPr>
        <w:t xml:space="preserve"> They make the </w:t>
      </w:r>
      <w:r w:rsidRPr="00594492" w:rsidR="000F78A5">
        <w:rPr>
          <w:rFonts w:ascii="Times New Roman" w:hAnsi="Times New Roman" w:cs="Times New Roman"/>
          <w:sz w:val="24"/>
          <w:szCs w:val="24"/>
        </w:rPr>
        <w:t>heart and</w:t>
      </w:r>
      <w:r w:rsidRPr="00594492">
        <w:rPr>
          <w:rFonts w:ascii="Times New Roman" w:hAnsi="Times New Roman" w:cs="Times New Roman"/>
          <w:sz w:val="24"/>
          <w:szCs w:val="24"/>
        </w:rPr>
        <w:t xml:space="preserve"> the </w:t>
      </w:r>
      <w:r w:rsidRPr="00594492" w:rsidR="000F78A5">
        <w:rPr>
          <w:rFonts w:ascii="Times New Roman" w:hAnsi="Times New Roman" w:cs="Times New Roman"/>
          <w:sz w:val="24"/>
          <w:szCs w:val="24"/>
        </w:rPr>
        <w:t>arteries contract</w:t>
      </w:r>
      <w:r w:rsidRPr="00594492">
        <w:rPr>
          <w:rFonts w:ascii="Times New Roman" w:hAnsi="Times New Roman" w:cs="Times New Roman"/>
          <w:sz w:val="24"/>
          <w:szCs w:val="24"/>
        </w:rPr>
        <w:t xml:space="preserve"> more, allowing the vessels relaxed and opened. In general, the heart rate is slowed. </w:t>
      </w:r>
      <w:r w:rsidRPr="00594492" w:rsidR="000F78A5">
        <w:rPr>
          <w:rFonts w:ascii="Times New Roman" w:hAnsi="Times New Roman" w:cs="Times New Roman"/>
          <w:sz w:val="24"/>
          <w:szCs w:val="24"/>
        </w:rPr>
        <w:t>When the channels are inhibited, action potentials also called electric impulses are not produced.</w:t>
      </w:r>
      <w:r w:rsidRPr="00594492" w:rsidR="00594492">
        <w:rPr>
          <w:rFonts w:ascii="Times New Roman" w:hAnsi="Times New Roman" w:cs="Times New Roman"/>
          <w:sz w:val="24"/>
          <w:szCs w:val="24"/>
        </w:rPr>
        <w:t xml:space="preserve"> </w:t>
      </w:r>
      <w:r w:rsidRPr="00594492" w:rsidR="000F78A5">
        <w:rPr>
          <w:rFonts w:ascii="Times New Roman" w:hAnsi="Times New Roman" w:cs="Times New Roman"/>
          <w:sz w:val="24"/>
          <w:szCs w:val="24"/>
        </w:rPr>
        <w:t>Since the heart rate drops parasympathetic activation s</w:t>
      </w:r>
      <w:bookmarkStart w:id="0" w:name="_GoBack"/>
      <w:bookmarkEnd w:id="0"/>
      <w:r w:rsidRPr="00594492" w:rsidR="000F78A5">
        <w:rPr>
          <w:rFonts w:ascii="Times New Roman" w:hAnsi="Times New Roman" w:cs="Times New Roman"/>
          <w:sz w:val="24"/>
          <w:szCs w:val="24"/>
        </w:rPr>
        <w:t>peed lowers along with the AV node, because the nodal reaction responses go to p</w:t>
      </w:r>
      <w:r w:rsidRPr="00594492" w:rsidR="00594492">
        <w:rPr>
          <w:rFonts w:ascii="Times New Roman" w:hAnsi="Times New Roman" w:cs="Times New Roman"/>
          <w:sz w:val="24"/>
          <w:szCs w:val="24"/>
        </w:rPr>
        <w:t>hase zero. The action results in reduced</w:t>
      </w:r>
      <w:r w:rsidRPr="00594492" w:rsidR="000F78A5">
        <w:rPr>
          <w:rFonts w:ascii="Times New Roman" w:hAnsi="Times New Roman" w:cs="Times New Roman"/>
          <w:sz w:val="24"/>
          <w:szCs w:val="24"/>
        </w:rPr>
        <w:t xml:space="preserve"> depolarization of the nearby cells, thus low conduction levels.</w:t>
      </w:r>
    </w:p>
    <w:p w:rsidR="00E0423B" w:rsidRPr="00594492" w:rsidP="00270D56">
      <w:pPr>
        <w:spacing w:after="0" w:line="480" w:lineRule="auto"/>
        <w:ind w:firstLine="720"/>
        <w:contextualSpacing/>
        <w:rPr>
          <w:rFonts w:ascii="Times New Roman" w:hAnsi="Times New Roman" w:cs="Times New Roman"/>
          <w:sz w:val="24"/>
          <w:szCs w:val="24"/>
        </w:rPr>
      </w:pPr>
      <w:r w:rsidRPr="00594492">
        <w:rPr>
          <w:rFonts w:ascii="Times New Roman" w:hAnsi="Times New Roman" w:cs="Times New Roman"/>
          <w:sz w:val="24"/>
          <w:szCs w:val="24"/>
        </w:rPr>
        <w:t>An action potential occurs when changes in the membrane ions permeabi</w:t>
      </w:r>
      <w:r w:rsidRPr="00594492" w:rsidR="00594492">
        <w:rPr>
          <w:rFonts w:ascii="Times New Roman" w:hAnsi="Times New Roman" w:cs="Times New Roman"/>
          <w:sz w:val="24"/>
          <w:szCs w:val="24"/>
        </w:rPr>
        <w:t xml:space="preserve">lity happen during diffusion. </w:t>
      </w:r>
      <w:r w:rsidRPr="00594492">
        <w:rPr>
          <w:rFonts w:ascii="Times New Roman" w:hAnsi="Times New Roman" w:cs="Times New Roman"/>
          <w:sz w:val="24"/>
          <w:szCs w:val="24"/>
        </w:rPr>
        <w:t xml:space="preserve">The process involves several phases, beginning with hypo polarization. It is where the membrane increases up to the threshold limit </w:t>
      </w:r>
      <w:r w:rsidRPr="00594492" w:rsidR="00270D56">
        <w:rPr>
          <w:rFonts w:ascii="Times New Roman" w:hAnsi="Times New Roman" w:cs="Times New Roman"/>
          <w:sz w:val="24"/>
          <w:szCs w:val="24"/>
        </w:rPr>
        <w:t>opening voltage-gated sodium elements</w:t>
      </w:r>
      <w:r w:rsidRPr="00594492">
        <w:rPr>
          <w:rFonts w:ascii="Times New Roman" w:hAnsi="Times New Roman" w:cs="Times New Roman"/>
          <w:sz w:val="24"/>
          <w:szCs w:val="24"/>
        </w:rPr>
        <w:t>, causing an imbalance. Depolarization follows, where the cells are electropositive moving towards sodium equilibrium levels which</w:t>
      </w:r>
      <w:r w:rsidRPr="00594492" w:rsidR="008E6A1C">
        <w:rPr>
          <w:rFonts w:ascii="Times New Roman" w:hAnsi="Times New Roman" w:cs="Times New Roman"/>
          <w:sz w:val="24"/>
          <w:szCs w:val="24"/>
        </w:rPr>
        <w:t xml:space="preserve"> is +61mV (</w:t>
      </w:r>
      <w:r w:rsidRPr="00594492" w:rsidR="00594492">
        <w:rPr>
          <w:rFonts w:ascii="Times New Roman" w:hAnsi="Times New Roman" w:cs="Times New Roman"/>
          <w:sz w:val="24"/>
          <w:szCs w:val="24"/>
          <w:shd w:val="clear" w:color="auto" w:fill="FFFFFF"/>
        </w:rPr>
        <w:t xml:space="preserve">Ling et al., 2019). </w:t>
      </w:r>
      <w:r w:rsidRPr="00594492">
        <w:rPr>
          <w:rFonts w:ascii="Times New Roman" w:hAnsi="Times New Roman" w:cs="Times New Roman"/>
          <w:sz w:val="24"/>
          <w:szCs w:val="24"/>
        </w:rPr>
        <w:t>When the highest positivity level is reached, the overshoot phase develops. Afterward, the permeability lowers because the channels close. The overshoot opens the gated potassium pathways resulting in potassium efflux, thus decreasing cells' electro positivity. The phase is known as repolarization, which takes place to ensure the membrane rests. At first, repolarization causes hyperpolarization referring to where the membrane's ability is lower than the potential level. However, the membrane regains, thus restoring its average limit.
</w:t>
      </w:r>
    </w:p>
    <w:p w:rsidR="009F10FA" w:rsidRPr="00594492" w:rsidP="00270D56">
      <w:pPr>
        <w:spacing w:after="0" w:line="480" w:lineRule="auto"/>
        <w:ind w:firstLine="720"/>
        <w:contextualSpacing/>
        <w:rPr>
          <w:rFonts w:ascii="Times New Roman" w:hAnsi="Times New Roman" w:cs="Times New Roman"/>
          <w:sz w:val="24"/>
          <w:szCs w:val="24"/>
        </w:rPr>
      </w:pPr>
      <w:r w:rsidRPr="00594492">
        <w:rPr>
          <w:rFonts w:ascii="Times New Roman" w:hAnsi="Times New Roman" w:cs="Times New Roman"/>
          <w:sz w:val="24"/>
          <w:szCs w:val="24"/>
        </w:rPr>
        <w:t xml:space="preserve">In this process, voltage-gated sodium and potassium channels </w:t>
      </w:r>
      <w:r w:rsidRPr="00594492" w:rsidR="00904F6C">
        <w:rPr>
          <w:rFonts w:ascii="Times New Roman" w:hAnsi="Times New Roman" w:cs="Times New Roman"/>
          <w:sz w:val="24"/>
          <w:szCs w:val="24"/>
        </w:rPr>
        <w:t>are utilized</w:t>
      </w:r>
      <w:r w:rsidRPr="00594492" w:rsidR="008E6A1C">
        <w:rPr>
          <w:rFonts w:ascii="Times New Roman" w:hAnsi="Times New Roman" w:cs="Times New Roman"/>
          <w:sz w:val="24"/>
          <w:szCs w:val="24"/>
        </w:rPr>
        <w:t xml:space="preserve"> (</w:t>
      </w:r>
      <w:r w:rsidRPr="00594492" w:rsidR="008E6A1C">
        <w:rPr>
          <w:rFonts w:ascii="Times New Roman" w:hAnsi="Times New Roman" w:cs="Times New Roman"/>
          <w:sz w:val="24"/>
          <w:szCs w:val="24"/>
          <w:shd w:val="clear" w:color="auto" w:fill="FFFFFF"/>
        </w:rPr>
        <w:t>Katz et al., 2018).</w:t>
      </w:r>
      <w:r w:rsidRPr="00594492" w:rsidR="00594492">
        <w:rPr>
          <w:rFonts w:ascii="Times New Roman" w:hAnsi="Times New Roman" w:cs="Times New Roman"/>
          <w:sz w:val="24"/>
          <w:szCs w:val="24"/>
        </w:rPr>
        <w:t xml:space="preserve"> </w:t>
      </w:r>
      <w:r w:rsidRPr="00594492">
        <w:rPr>
          <w:rFonts w:ascii="Times New Roman" w:hAnsi="Times New Roman" w:cs="Times New Roman"/>
          <w:sz w:val="24"/>
          <w:szCs w:val="24"/>
        </w:rPr>
        <w:t>They ensure the resting memb</w:t>
      </w:r>
      <w:r w:rsidRPr="00594492" w:rsidR="00594492">
        <w:rPr>
          <w:rFonts w:ascii="Times New Roman" w:hAnsi="Times New Roman" w:cs="Times New Roman"/>
          <w:sz w:val="24"/>
          <w:szCs w:val="24"/>
        </w:rPr>
        <w:t xml:space="preserve">rane capability is maintained. </w:t>
      </w:r>
      <w:r w:rsidRPr="00594492">
        <w:rPr>
          <w:rFonts w:ascii="Times New Roman" w:hAnsi="Times New Roman" w:cs="Times New Roman"/>
          <w:sz w:val="24"/>
          <w:szCs w:val="24"/>
        </w:rPr>
        <w:t xml:space="preserve">It is done by evaluating cells’ state to determine </w:t>
      </w:r>
      <w:r w:rsidRPr="00594492" w:rsidR="00904F6C">
        <w:rPr>
          <w:rFonts w:ascii="Times New Roman" w:hAnsi="Times New Roman" w:cs="Times New Roman"/>
          <w:sz w:val="24"/>
          <w:szCs w:val="24"/>
        </w:rPr>
        <w:t>if more</w:t>
      </w:r>
      <w:r w:rsidRPr="00594492">
        <w:rPr>
          <w:rFonts w:ascii="Times New Roman" w:hAnsi="Times New Roman" w:cs="Times New Roman"/>
          <w:sz w:val="24"/>
          <w:szCs w:val="24"/>
        </w:rPr>
        <w:t xml:space="preserve"> ions are needed or blocking is required. For example, during the depolarization stage, the channels open, so the sodium ions enter to ensure concentration gradient. </w:t>
      </w:r>
      <w:r w:rsidRPr="00594492" w:rsidR="00904F6C">
        <w:rPr>
          <w:rFonts w:ascii="Times New Roman" w:hAnsi="Times New Roman" w:cs="Times New Roman"/>
          <w:sz w:val="24"/>
          <w:szCs w:val="24"/>
        </w:rPr>
        <w:t xml:space="preserve">During repolarization, the ions are removed from the cells towards the membrane </w:t>
      </w:r>
      <w:r w:rsidRPr="00594492" w:rsidR="00904F6C">
        <w:rPr>
          <w:rFonts w:ascii="Times New Roman" w:hAnsi="Times New Roman" w:cs="Times New Roman"/>
          <w:sz w:val="24"/>
          <w:szCs w:val="24"/>
        </w:rPr>
        <w:t xml:space="preserve">potential's level.  Action potentials are useful in the neurons in providing cell to cell communication. They assist in salutatory conduction and signal propagation between the axon and synaptic </w:t>
      </w:r>
      <w:r w:rsidRPr="00594492" w:rsidR="00904F6C">
        <w:rPr>
          <w:rFonts w:ascii="Times New Roman" w:hAnsi="Times New Roman" w:cs="Times New Roman"/>
          <w:sz w:val="24"/>
          <w:szCs w:val="24"/>
        </w:rPr>
        <w:t>boutons</w:t>
      </w:r>
      <w:r w:rsidRPr="00594492" w:rsidR="00904F6C">
        <w:rPr>
          <w:rFonts w:ascii="Times New Roman" w:hAnsi="Times New Roman" w:cs="Times New Roman"/>
          <w:sz w:val="24"/>
          <w:szCs w:val="24"/>
        </w:rPr>
        <w:t xml:space="preserve"> located in axon's tips.</w:t>
      </w: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270D56" w:rsidRPr="00594492" w:rsidP="00270D56">
      <w:pPr>
        <w:spacing w:line="480" w:lineRule="auto"/>
        <w:rPr>
          <w:rFonts w:ascii="Times New Roman" w:hAnsi="Times New Roman" w:cs="Times New Roman"/>
          <w:sz w:val="24"/>
          <w:szCs w:val="24"/>
        </w:rPr>
      </w:pPr>
    </w:p>
    <w:p w:rsidR="00904F6C" w:rsidRPr="00594492" w:rsidP="00270D56">
      <w:pPr>
        <w:spacing w:line="480" w:lineRule="auto"/>
        <w:jc w:val="center"/>
        <w:rPr>
          <w:rFonts w:ascii="Times New Roman" w:hAnsi="Times New Roman" w:cs="Times New Roman"/>
          <w:b/>
          <w:sz w:val="24"/>
          <w:szCs w:val="24"/>
        </w:rPr>
      </w:pPr>
      <w:r w:rsidRPr="00594492">
        <w:rPr>
          <w:rFonts w:ascii="Times New Roman" w:hAnsi="Times New Roman" w:cs="Times New Roman"/>
          <w:b/>
          <w:sz w:val="24"/>
          <w:szCs w:val="24"/>
        </w:rPr>
        <w:t>References</w:t>
      </w:r>
    </w:p>
    <w:p w:rsidR="00270D56" w:rsidRPr="00594492" w:rsidP="00270D56">
      <w:pPr>
        <w:spacing w:after="0" w:line="480" w:lineRule="auto"/>
        <w:ind w:left="720" w:hanging="720"/>
        <w:contextualSpacing/>
        <w:rPr>
          <w:rFonts w:ascii="Times New Roman" w:hAnsi="Times New Roman" w:cs="Times New Roman"/>
          <w:sz w:val="24"/>
          <w:szCs w:val="24"/>
          <w:shd w:val="clear" w:color="auto" w:fill="FFFFFF"/>
        </w:rPr>
      </w:pPr>
      <w:r w:rsidRPr="00594492">
        <w:rPr>
          <w:rFonts w:ascii="Times New Roman" w:hAnsi="Times New Roman" w:cs="Times New Roman"/>
          <w:sz w:val="24"/>
          <w:szCs w:val="24"/>
          <w:shd w:val="clear" w:color="auto" w:fill="FFFFFF"/>
        </w:rPr>
        <w:t xml:space="preserve">Katz, E., </w:t>
      </w:r>
      <w:r w:rsidRPr="00594492">
        <w:rPr>
          <w:rFonts w:ascii="Times New Roman" w:hAnsi="Times New Roman" w:cs="Times New Roman"/>
          <w:sz w:val="24"/>
          <w:szCs w:val="24"/>
          <w:shd w:val="clear" w:color="auto" w:fill="FFFFFF"/>
        </w:rPr>
        <w:t>Stoler</w:t>
      </w:r>
      <w:r w:rsidRPr="00594492">
        <w:rPr>
          <w:rFonts w:ascii="Times New Roman" w:hAnsi="Times New Roman" w:cs="Times New Roman"/>
          <w:sz w:val="24"/>
          <w:szCs w:val="24"/>
          <w:shd w:val="clear" w:color="auto" w:fill="FFFFFF"/>
        </w:rPr>
        <w:t xml:space="preserve">, O., </w:t>
      </w:r>
      <w:r w:rsidRPr="00594492">
        <w:rPr>
          <w:rFonts w:ascii="Times New Roman" w:hAnsi="Times New Roman" w:cs="Times New Roman"/>
          <w:sz w:val="24"/>
          <w:szCs w:val="24"/>
          <w:shd w:val="clear" w:color="auto" w:fill="FFFFFF"/>
        </w:rPr>
        <w:t>Scheller</w:t>
      </w:r>
      <w:r w:rsidRPr="00594492">
        <w:rPr>
          <w:rFonts w:ascii="Times New Roman" w:hAnsi="Times New Roman" w:cs="Times New Roman"/>
          <w:sz w:val="24"/>
          <w:szCs w:val="24"/>
          <w:shd w:val="clear" w:color="auto" w:fill="FFFFFF"/>
        </w:rPr>
        <w:t xml:space="preserve">, A., </w:t>
      </w:r>
      <w:r w:rsidRPr="00594492">
        <w:rPr>
          <w:rFonts w:ascii="Times New Roman" w:hAnsi="Times New Roman" w:cs="Times New Roman"/>
          <w:sz w:val="24"/>
          <w:szCs w:val="24"/>
          <w:shd w:val="clear" w:color="auto" w:fill="FFFFFF"/>
        </w:rPr>
        <w:t>Khrapunsky</w:t>
      </w:r>
      <w:r w:rsidRPr="00594492">
        <w:rPr>
          <w:rFonts w:ascii="Times New Roman" w:hAnsi="Times New Roman" w:cs="Times New Roman"/>
          <w:sz w:val="24"/>
          <w:szCs w:val="24"/>
          <w:shd w:val="clear" w:color="auto" w:fill="FFFFFF"/>
        </w:rPr>
        <w:t xml:space="preserve">, Y., Goebbels, S., Kirchhoff, F., &amp; </w:t>
      </w:r>
      <w:r w:rsidRPr="00594492">
        <w:rPr>
          <w:rFonts w:ascii="Times New Roman" w:hAnsi="Times New Roman" w:cs="Times New Roman"/>
          <w:sz w:val="24"/>
          <w:szCs w:val="24"/>
          <w:shd w:val="clear" w:color="auto" w:fill="FFFFFF"/>
        </w:rPr>
        <w:t>Fleidervish</w:t>
      </w:r>
      <w:r w:rsidRPr="00594492">
        <w:rPr>
          <w:rFonts w:ascii="Times New Roman" w:hAnsi="Times New Roman" w:cs="Times New Roman"/>
          <w:sz w:val="24"/>
          <w:szCs w:val="24"/>
          <w:shd w:val="clear" w:color="auto" w:fill="FFFFFF"/>
        </w:rPr>
        <w:t>, I. A. (2018). Role of sodium channel subtype in action potential generation by neocortical pyramidal neurons. </w:t>
      </w:r>
      <w:r w:rsidRPr="00594492">
        <w:rPr>
          <w:rFonts w:ascii="Times New Roman" w:hAnsi="Times New Roman" w:cs="Times New Roman"/>
          <w:i/>
          <w:iCs/>
          <w:sz w:val="24"/>
          <w:szCs w:val="24"/>
          <w:shd w:val="clear" w:color="auto" w:fill="FFFFFF"/>
        </w:rPr>
        <w:t>Proceedings of the National Academy of Sciences</w:t>
      </w:r>
      <w:r w:rsidRPr="00594492">
        <w:rPr>
          <w:rFonts w:ascii="Times New Roman" w:hAnsi="Times New Roman" w:cs="Times New Roman"/>
          <w:sz w:val="24"/>
          <w:szCs w:val="24"/>
          <w:shd w:val="clear" w:color="auto" w:fill="FFFFFF"/>
        </w:rPr>
        <w:t>, </w:t>
      </w:r>
      <w:r w:rsidRPr="00594492">
        <w:rPr>
          <w:rFonts w:ascii="Times New Roman" w:hAnsi="Times New Roman" w:cs="Times New Roman"/>
          <w:i/>
          <w:iCs/>
          <w:sz w:val="24"/>
          <w:szCs w:val="24"/>
          <w:shd w:val="clear" w:color="auto" w:fill="FFFFFF"/>
        </w:rPr>
        <w:t>115</w:t>
      </w:r>
      <w:r w:rsidRPr="00594492">
        <w:rPr>
          <w:rFonts w:ascii="Times New Roman" w:hAnsi="Times New Roman" w:cs="Times New Roman"/>
          <w:sz w:val="24"/>
          <w:szCs w:val="24"/>
          <w:shd w:val="clear" w:color="auto" w:fill="FFFFFF"/>
        </w:rPr>
        <w:t>(30), E7184-E7192.</w:t>
      </w:r>
    </w:p>
    <w:p w:rsidR="00270D56" w:rsidRPr="00594492" w:rsidP="00270D56">
      <w:pPr>
        <w:spacing w:after="0" w:line="480" w:lineRule="auto"/>
        <w:ind w:left="720" w:hanging="720"/>
        <w:contextualSpacing/>
        <w:rPr>
          <w:rFonts w:ascii="Times New Roman" w:hAnsi="Times New Roman" w:cs="Times New Roman"/>
          <w:sz w:val="24"/>
          <w:szCs w:val="24"/>
        </w:rPr>
      </w:pPr>
      <w:r w:rsidRPr="00594492">
        <w:rPr>
          <w:rFonts w:ascii="Times New Roman" w:hAnsi="Times New Roman" w:cs="Times New Roman"/>
          <w:sz w:val="24"/>
          <w:szCs w:val="24"/>
          <w:shd w:val="clear" w:color="auto" w:fill="FFFFFF"/>
        </w:rPr>
        <w:t xml:space="preserve">Ling, T., Boyle, K. C., Zuckerman, V., Flores, T., </w:t>
      </w:r>
      <w:r w:rsidRPr="00594492">
        <w:rPr>
          <w:rFonts w:ascii="Times New Roman" w:hAnsi="Times New Roman" w:cs="Times New Roman"/>
          <w:sz w:val="24"/>
          <w:szCs w:val="24"/>
          <w:shd w:val="clear" w:color="auto" w:fill="FFFFFF"/>
        </w:rPr>
        <w:t>Ramakrishnan</w:t>
      </w:r>
      <w:r w:rsidRPr="00594492">
        <w:rPr>
          <w:rFonts w:ascii="Times New Roman" w:hAnsi="Times New Roman" w:cs="Times New Roman"/>
          <w:sz w:val="24"/>
          <w:szCs w:val="24"/>
          <w:shd w:val="clear" w:color="auto" w:fill="FFFFFF"/>
        </w:rPr>
        <w:t xml:space="preserve">, C., </w:t>
      </w:r>
      <w:r w:rsidRPr="00594492">
        <w:rPr>
          <w:rFonts w:ascii="Times New Roman" w:hAnsi="Times New Roman" w:cs="Times New Roman"/>
          <w:sz w:val="24"/>
          <w:szCs w:val="24"/>
          <w:shd w:val="clear" w:color="auto" w:fill="FFFFFF"/>
        </w:rPr>
        <w:t>Deisseroth</w:t>
      </w:r>
      <w:r w:rsidRPr="00594492">
        <w:rPr>
          <w:rFonts w:ascii="Times New Roman" w:hAnsi="Times New Roman" w:cs="Times New Roman"/>
          <w:sz w:val="24"/>
          <w:szCs w:val="24"/>
          <w:shd w:val="clear" w:color="auto" w:fill="FFFFFF"/>
        </w:rPr>
        <w:t xml:space="preserve">, K., &amp; </w:t>
      </w:r>
      <w:r w:rsidRPr="00594492">
        <w:rPr>
          <w:rFonts w:ascii="Times New Roman" w:hAnsi="Times New Roman" w:cs="Times New Roman"/>
          <w:sz w:val="24"/>
          <w:szCs w:val="24"/>
          <w:shd w:val="clear" w:color="auto" w:fill="FFFFFF"/>
        </w:rPr>
        <w:t>Palanker</w:t>
      </w:r>
      <w:r w:rsidRPr="00594492">
        <w:rPr>
          <w:rFonts w:ascii="Times New Roman" w:hAnsi="Times New Roman" w:cs="Times New Roman"/>
          <w:sz w:val="24"/>
          <w:szCs w:val="24"/>
          <w:shd w:val="clear" w:color="auto" w:fill="FFFFFF"/>
        </w:rPr>
        <w:t>, D. (2019). How neurons move during action potentials. </w:t>
      </w:r>
      <w:r w:rsidRPr="00594492">
        <w:rPr>
          <w:rFonts w:ascii="Times New Roman" w:hAnsi="Times New Roman" w:cs="Times New Roman"/>
          <w:i/>
          <w:iCs/>
          <w:sz w:val="24"/>
          <w:szCs w:val="24"/>
          <w:shd w:val="clear" w:color="auto" w:fill="FFFFFF"/>
        </w:rPr>
        <w:t>bioRxiv</w:t>
      </w:r>
      <w:r w:rsidRPr="00594492">
        <w:rPr>
          <w:rFonts w:ascii="Times New Roman" w:hAnsi="Times New Roman" w:cs="Times New Roman"/>
          <w:sz w:val="24"/>
          <w:szCs w:val="24"/>
          <w:shd w:val="clear" w:color="auto" w:fill="FFFFFF"/>
        </w:rPr>
        <w:t>, 765768.</w:t>
      </w:r>
    </w:p>
    <w:p w:rsidR="00904F6C" w:rsidRPr="00594492" w:rsidP="00270D56">
      <w:pPr>
        <w:spacing w:line="480" w:lineRule="auto"/>
        <w:rPr>
          <w:rFonts w:ascii="Times New Roman" w:hAnsi="Times New Roman" w:cs="Times New Roman"/>
          <w:sz w:val="24"/>
          <w:szCs w:val="24"/>
        </w:rPr>
      </w:pPr>
    </w:p>
    <w:sectPr w:rsidSect="00270D56">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393"/>
    <w:rsid w:val="00017A45"/>
    <w:rsid w:val="000F78A5"/>
    <w:rsid w:val="00270D56"/>
    <w:rsid w:val="003E432A"/>
    <w:rsid w:val="00451393"/>
    <w:rsid w:val="00594492"/>
    <w:rsid w:val="007A5B37"/>
    <w:rsid w:val="008A571E"/>
    <w:rsid w:val="008E6A1C"/>
    <w:rsid w:val="00904F6C"/>
    <w:rsid w:val="009054D2"/>
    <w:rsid w:val="009165C9"/>
    <w:rsid w:val="00994DB0"/>
    <w:rsid w:val="009F10FA"/>
    <w:rsid w:val="00E042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00AFA0C-CF09-4618-A5DA-E76F1378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D56"/>
  </w:style>
  <w:style w:type="paragraph" w:styleId="Footer">
    <w:name w:val="footer"/>
    <w:basedOn w:val="Normal"/>
    <w:link w:val="FooterChar"/>
    <w:uiPriority w:val="99"/>
    <w:unhideWhenUsed/>
    <w:rsid w:val="00270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3</cp:revision>
  <dcterms:created xsi:type="dcterms:W3CDTF">2020-09-09T14:43:00Z</dcterms:created>
  <dcterms:modified xsi:type="dcterms:W3CDTF">2020-09-09T15:06:00Z</dcterms:modified>
</cp:coreProperties>
</file>